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6DCA" w14:textId="580FCBBD" w:rsidR="0025055A" w:rsidRDefault="6EA13D8B" w:rsidP="5F2E174A">
      <w:pPr>
        <w:jc w:val="center"/>
        <w:rPr>
          <w:b/>
          <w:bCs/>
          <w:sz w:val="28"/>
          <w:szCs w:val="28"/>
          <w:highlight w:val="yellow"/>
        </w:rPr>
      </w:pPr>
      <w:r w:rsidRPr="5F2E174A">
        <w:rPr>
          <w:b/>
          <w:bCs/>
          <w:sz w:val="28"/>
          <w:szCs w:val="28"/>
          <w:highlight w:val="yellow"/>
        </w:rPr>
        <w:t>TD Bank only bringing back 90 days on Bravo Report</w:t>
      </w:r>
    </w:p>
    <w:p w14:paraId="0452EF0E" w14:textId="2E72D828" w:rsidR="0025055A" w:rsidRDefault="0025055A" w:rsidP="5F2E174A">
      <w:pPr>
        <w:jc w:val="center"/>
        <w:rPr>
          <w:b/>
          <w:bCs/>
          <w:sz w:val="28"/>
          <w:szCs w:val="28"/>
        </w:rPr>
      </w:pPr>
    </w:p>
    <w:p w14:paraId="2C078E63" w14:textId="69FB3836" w:rsidR="0025055A" w:rsidRDefault="2D06B3A6" w:rsidP="5F2E174A">
      <w:pPr>
        <w:jc w:val="center"/>
        <w:rPr>
          <w:b/>
          <w:bCs/>
          <w:i/>
          <w:iCs/>
          <w:sz w:val="28"/>
          <w:szCs w:val="28"/>
        </w:rPr>
      </w:pPr>
      <w:r w:rsidRPr="5F2E174A">
        <w:rPr>
          <w:b/>
          <w:bCs/>
          <w:sz w:val="28"/>
          <w:szCs w:val="28"/>
        </w:rPr>
        <w:t xml:space="preserve">Go to the TD Bank </w:t>
      </w:r>
      <w:r w:rsidR="58FC07CD" w:rsidRPr="5F2E174A">
        <w:rPr>
          <w:b/>
          <w:bCs/>
          <w:sz w:val="28"/>
          <w:szCs w:val="28"/>
        </w:rPr>
        <w:t xml:space="preserve">website on a desktop and log in. </w:t>
      </w:r>
      <w:r w:rsidR="4C9E06EE" w:rsidRPr="5F2E174A">
        <w:rPr>
          <w:b/>
          <w:bCs/>
          <w:sz w:val="28"/>
          <w:szCs w:val="28"/>
        </w:rPr>
        <w:t xml:space="preserve">At the top go to the </w:t>
      </w:r>
      <w:r w:rsidR="4C9E06EE" w:rsidRPr="5F2E174A">
        <w:rPr>
          <w:b/>
          <w:bCs/>
          <w:i/>
          <w:iCs/>
          <w:sz w:val="28"/>
          <w:szCs w:val="28"/>
        </w:rPr>
        <w:t>My TD</w:t>
      </w:r>
      <w:r w:rsidR="4C9E06EE" w:rsidRPr="5F2E174A">
        <w:rPr>
          <w:b/>
          <w:bCs/>
          <w:sz w:val="28"/>
          <w:szCs w:val="28"/>
        </w:rPr>
        <w:t xml:space="preserve"> dropdown and select </w:t>
      </w:r>
      <w:r w:rsidR="4C9E06EE" w:rsidRPr="5F2E174A">
        <w:rPr>
          <w:b/>
          <w:bCs/>
          <w:i/>
          <w:iCs/>
          <w:sz w:val="28"/>
          <w:szCs w:val="28"/>
        </w:rPr>
        <w:t>TD Alerts</w:t>
      </w:r>
    </w:p>
    <w:p w14:paraId="654801E1" w14:textId="7C5566D4" w:rsidR="15769E6E" w:rsidRDefault="15769E6E" w:rsidP="5F2E174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1D49863" wp14:editId="5E776307">
            <wp:extent cx="5619750" cy="2306439"/>
            <wp:effectExtent l="0" t="0" r="0" b="0"/>
            <wp:docPr id="1559349555" name="Picture 1559349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30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8634" w14:textId="3611CB0F" w:rsidR="36004054" w:rsidRDefault="36004054" w:rsidP="5F2E174A">
      <w:pPr>
        <w:jc w:val="center"/>
        <w:rPr>
          <w:b/>
          <w:bCs/>
          <w:i/>
          <w:iCs/>
          <w:sz w:val="28"/>
          <w:szCs w:val="28"/>
        </w:rPr>
      </w:pPr>
      <w:r w:rsidRPr="5F2E174A">
        <w:rPr>
          <w:b/>
          <w:bCs/>
          <w:sz w:val="28"/>
          <w:szCs w:val="28"/>
        </w:rPr>
        <w:t xml:space="preserve">Then scroll down to </w:t>
      </w:r>
      <w:r w:rsidRPr="5F2E174A">
        <w:rPr>
          <w:b/>
          <w:bCs/>
          <w:i/>
          <w:iCs/>
          <w:sz w:val="28"/>
          <w:szCs w:val="28"/>
        </w:rPr>
        <w:t>Online Statements and Notices and click on the green link “</w:t>
      </w:r>
      <w:proofErr w:type="gramStart"/>
      <w:r w:rsidRPr="5F2E174A">
        <w:rPr>
          <w:b/>
          <w:bCs/>
          <w:i/>
          <w:iCs/>
          <w:sz w:val="28"/>
          <w:szCs w:val="28"/>
        </w:rPr>
        <w:t>turning</w:t>
      </w:r>
      <w:proofErr w:type="gramEnd"/>
      <w:r w:rsidRPr="5F2E174A">
        <w:rPr>
          <w:b/>
          <w:bCs/>
          <w:i/>
          <w:iCs/>
          <w:sz w:val="28"/>
          <w:szCs w:val="28"/>
        </w:rPr>
        <w:t xml:space="preserve"> off paper statements and notices”</w:t>
      </w:r>
    </w:p>
    <w:p w14:paraId="69DEAC73" w14:textId="630B7725" w:rsidR="15769E6E" w:rsidRDefault="15769E6E" w:rsidP="5F2E174A">
      <w:pPr>
        <w:jc w:val="center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0ECA9055" wp14:editId="5A79F16D">
            <wp:extent cx="5867400" cy="3642677"/>
            <wp:effectExtent l="0" t="0" r="0" b="0"/>
            <wp:docPr id="942510374" name="Picture 94251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64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62FF8" w14:textId="18BABAF1" w:rsidR="74A52585" w:rsidRDefault="74A52585" w:rsidP="5F2E174A">
      <w:pPr>
        <w:jc w:val="center"/>
        <w:rPr>
          <w:b/>
          <w:bCs/>
          <w:i/>
          <w:iCs/>
          <w:sz w:val="28"/>
          <w:szCs w:val="28"/>
        </w:rPr>
      </w:pPr>
      <w:r w:rsidRPr="5F2E174A">
        <w:rPr>
          <w:b/>
          <w:bCs/>
          <w:sz w:val="28"/>
          <w:szCs w:val="28"/>
        </w:rPr>
        <w:t xml:space="preserve">Scroll down and find </w:t>
      </w:r>
      <w:r w:rsidRPr="5F2E174A">
        <w:rPr>
          <w:b/>
          <w:bCs/>
          <w:i/>
          <w:iCs/>
          <w:sz w:val="28"/>
          <w:szCs w:val="28"/>
        </w:rPr>
        <w:t>Update Settings</w:t>
      </w:r>
    </w:p>
    <w:p w14:paraId="00E80C11" w14:textId="55D6B4FD" w:rsidR="74A52585" w:rsidRDefault="74A52585" w:rsidP="5F2E174A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DC17DD1" wp14:editId="5232B756">
            <wp:extent cx="4817268" cy="2569210"/>
            <wp:effectExtent l="0" t="0" r="0" b="0"/>
            <wp:docPr id="1425501910" name="Picture 142550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268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5AB99" w14:textId="039D635D" w:rsidR="74A52585" w:rsidRDefault="74A52585" w:rsidP="5F2E174A">
      <w:pPr>
        <w:jc w:val="center"/>
        <w:rPr>
          <w:b/>
          <w:bCs/>
          <w:sz w:val="28"/>
          <w:szCs w:val="28"/>
        </w:rPr>
      </w:pPr>
      <w:r w:rsidRPr="5F2E174A">
        <w:rPr>
          <w:b/>
          <w:bCs/>
          <w:sz w:val="28"/>
          <w:szCs w:val="28"/>
        </w:rPr>
        <w:t xml:space="preserve">Then check off each box for the accounts you need </w:t>
      </w:r>
      <w:r w:rsidR="047CFD3B" w:rsidRPr="5F2E174A">
        <w:rPr>
          <w:b/>
          <w:bCs/>
          <w:sz w:val="28"/>
          <w:szCs w:val="28"/>
        </w:rPr>
        <w:t xml:space="preserve">120 days </w:t>
      </w:r>
      <w:r w:rsidRPr="5F2E174A">
        <w:rPr>
          <w:b/>
          <w:bCs/>
          <w:sz w:val="28"/>
          <w:szCs w:val="28"/>
        </w:rPr>
        <w:t>and select continue</w:t>
      </w:r>
    </w:p>
    <w:p w14:paraId="46B48990" w14:textId="091CDED3" w:rsidR="316B73F2" w:rsidRDefault="316B73F2" w:rsidP="5F2E174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C674FF4" wp14:editId="0F0301D5">
            <wp:extent cx="3914775" cy="3303092"/>
            <wp:effectExtent l="0" t="0" r="0" b="0"/>
            <wp:docPr id="1211077789" name="Picture 1211077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30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3BDC4" w14:textId="07EE44D4" w:rsidR="5F2E174A" w:rsidRDefault="5F2E174A" w:rsidP="5F2E174A">
      <w:pPr>
        <w:jc w:val="center"/>
        <w:rPr>
          <w:b/>
          <w:bCs/>
        </w:rPr>
      </w:pPr>
    </w:p>
    <w:p w14:paraId="3A225EF2" w14:textId="1B8B6DF4" w:rsidR="2CE37453" w:rsidRDefault="2CE37453" w:rsidP="5F2E174A">
      <w:pPr>
        <w:jc w:val="center"/>
        <w:rPr>
          <w:b/>
          <w:bCs/>
          <w:sz w:val="28"/>
          <w:szCs w:val="28"/>
        </w:rPr>
      </w:pPr>
      <w:r w:rsidRPr="5F2E174A">
        <w:rPr>
          <w:b/>
          <w:bCs/>
          <w:sz w:val="28"/>
          <w:szCs w:val="28"/>
        </w:rPr>
        <w:t xml:space="preserve">Once this is saved, send the customer another Bravo report and have them complete the process again. This will enable 120 days </w:t>
      </w:r>
      <w:r w:rsidR="4E83FC86" w:rsidRPr="5F2E174A">
        <w:rPr>
          <w:b/>
          <w:bCs/>
          <w:sz w:val="28"/>
          <w:szCs w:val="28"/>
        </w:rPr>
        <w:t>of transactions</w:t>
      </w:r>
      <w:r w:rsidR="0F4ECAF3" w:rsidRPr="5F2E174A">
        <w:rPr>
          <w:b/>
          <w:bCs/>
          <w:sz w:val="28"/>
          <w:szCs w:val="28"/>
        </w:rPr>
        <w:t xml:space="preserve"> to be brought back</w:t>
      </w:r>
      <w:r w:rsidR="4E83FC86" w:rsidRPr="5F2E174A">
        <w:rPr>
          <w:b/>
          <w:bCs/>
          <w:sz w:val="28"/>
          <w:szCs w:val="28"/>
        </w:rPr>
        <w:t xml:space="preserve"> </w:t>
      </w:r>
      <w:r w:rsidR="02541F70" w:rsidRPr="5F2E174A">
        <w:rPr>
          <w:b/>
          <w:bCs/>
          <w:sz w:val="28"/>
          <w:szCs w:val="28"/>
        </w:rPr>
        <w:t>with the Baseline</w:t>
      </w:r>
      <w:r w:rsidRPr="5F2E174A">
        <w:rPr>
          <w:b/>
          <w:bCs/>
          <w:sz w:val="28"/>
          <w:szCs w:val="28"/>
        </w:rPr>
        <w:t>.</w:t>
      </w:r>
    </w:p>
    <w:sectPr w:rsidR="2CE37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131EF"/>
    <w:rsid w:val="001F713C"/>
    <w:rsid w:val="0023518A"/>
    <w:rsid w:val="0025055A"/>
    <w:rsid w:val="007B6FA2"/>
    <w:rsid w:val="02541F70"/>
    <w:rsid w:val="047CFD3B"/>
    <w:rsid w:val="0E9E1207"/>
    <w:rsid w:val="0F4ECAF3"/>
    <w:rsid w:val="1039E268"/>
    <w:rsid w:val="12AE2DA0"/>
    <w:rsid w:val="15769E6E"/>
    <w:rsid w:val="1BD131EF"/>
    <w:rsid w:val="1E994807"/>
    <w:rsid w:val="21F09BF0"/>
    <w:rsid w:val="2995D4CF"/>
    <w:rsid w:val="2AD1830E"/>
    <w:rsid w:val="2CE37453"/>
    <w:rsid w:val="2D06B3A6"/>
    <w:rsid w:val="316B73F2"/>
    <w:rsid w:val="34656415"/>
    <w:rsid w:val="36004054"/>
    <w:rsid w:val="3D17ECEB"/>
    <w:rsid w:val="48A0C476"/>
    <w:rsid w:val="4A5A8291"/>
    <w:rsid w:val="4AF2B6E9"/>
    <w:rsid w:val="4C9E06EE"/>
    <w:rsid w:val="4CA64DE6"/>
    <w:rsid w:val="4E83FC86"/>
    <w:rsid w:val="52D52C02"/>
    <w:rsid w:val="58FC07CD"/>
    <w:rsid w:val="5BB773E6"/>
    <w:rsid w:val="5F2E174A"/>
    <w:rsid w:val="64F22337"/>
    <w:rsid w:val="672000D2"/>
    <w:rsid w:val="6EA13D8B"/>
    <w:rsid w:val="6F2FD814"/>
    <w:rsid w:val="726778D6"/>
    <w:rsid w:val="74A52585"/>
    <w:rsid w:val="7D7D8B65"/>
    <w:rsid w:val="7E80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31EF"/>
  <w15:chartTrackingRefBased/>
  <w15:docId w15:val="{BC19A7ED-1DF7-4B31-ABED-BA3188A4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Jarman</dc:creator>
  <cp:keywords/>
  <dc:description/>
  <cp:lastModifiedBy>Ethan Jarman</cp:lastModifiedBy>
  <cp:revision>2</cp:revision>
  <cp:lastPrinted>2024-09-20T20:08:00Z</cp:lastPrinted>
  <dcterms:created xsi:type="dcterms:W3CDTF">2024-09-20T20:44:00Z</dcterms:created>
  <dcterms:modified xsi:type="dcterms:W3CDTF">2024-09-20T20:44:00Z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1b359a-5a86-48b5-8c5f-f8553518f636_Enabled">
    <vt:lpwstr>true</vt:lpwstr>
  </property>
  <property fmtid="{D5CDD505-2E9C-101B-9397-08002B2CF9AE}" pid="3" name="MSIP_Label_dd1b359a-5a86-48b5-8c5f-f8553518f636_SetDate">
    <vt:lpwstr>2024-09-20T20:08:00Z</vt:lpwstr>
  </property>
  <property fmtid="{D5CDD505-2E9C-101B-9397-08002B2CF9AE}" pid="4" name="MSIP_Label_dd1b359a-5a86-48b5-8c5f-f8553518f636_Method">
    <vt:lpwstr>Privileged</vt:lpwstr>
  </property>
  <property fmtid="{D5CDD505-2E9C-101B-9397-08002B2CF9AE}" pid="5" name="MSIP_Label_dd1b359a-5a86-48b5-8c5f-f8553518f636_Name">
    <vt:lpwstr>defa4170-0d19-0005-0001-bc88714345d2</vt:lpwstr>
  </property>
  <property fmtid="{D5CDD505-2E9C-101B-9397-08002B2CF9AE}" pid="6" name="MSIP_Label_dd1b359a-5a86-48b5-8c5f-f8553518f636_SiteId">
    <vt:lpwstr>20b77648-941e-4c54-9ff1-5e18e497d4ee</vt:lpwstr>
  </property>
  <property fmtid="{D5CDD505-2E9C-101B-9397-08002B2CF9AE}" pid="7" name="MSIP_Label_dd1b359a-5a86-48b5-8c5f-f8553518f636_ActionId">
    <vt:lpwstr>0445ec7e-6ea6-454e-a06a-09307535e8bc</vt:lpwstr>
  </property>
  <property fmtid="{D5CDD505-2E9C-101B-9397-08002B2CF9AE}" pid="8" name="MSIP_Label_dd1b359a-5a86-48b5-8c5f-f8553518f636_ContentBits">
    <vt:lpwstr>0</vt:lpwstr>
  </property>
</Properties>
</file>